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237" w:rsidRDefault="006C5237" w:rsidP="006C5237">
      <w:pPr>
        <w:rPr>
          <w:rFonts w:cstheme="minorHAnsi"/>
          <w:bCs/>
        </w:rPr>
      </w:pPr>
    </w:p>
    <w:p w:rsidR="006C5237" w:rsidRDefault="006C5237" w:rsidP="006C5237">
      <w:pPr>
        <w:rPr>
          <w:rFonts w:cstheme="minorHAnsi"/>
          <w:bCs/>
        </w:rPr>
      </w:pPr>
    </w:p>
    <w:p w:rsidR="006C5237" w:rsidRDefault="006C5237" w:rsidP="006C5237">
      <w:pPr>
        <w:rPr>
          <w:rFonts w:cstheme="minorHAnsi"/>
          <w:bCs/>
        </w:rPr>
      </w:pPr>
    </w:p>
    <w:p w:rsidR="006C5237" w:rsidRPr="006B5F17" w:rsidRDefault="006C5237" w:rsidP="006C5237">
      <w:pPr>
        <w:rPr>
          <w:rFonts w:ascii="Century Gothic" w:hAnsi="Century Gothic" w:cstheme="minorHAnsi"/>
          <w:b/>
        </w:rPr>
      </w:pPr>
      <w:r w:rsidRPr="006B5F17">
        <w:rPr>
          <w:rFonts w:ascii="Century Gothic" w:hAnsi="Century Gothic" w:cstheme="minorHAnsi"/>
          <w:b/>
        </w:rPr>
        <w:t>Tabaluga oder die Reise zur Vernunft</w:t>
      </w:r>
    </w:p>
    <w:p w:rsidR="006C5237" w:rsidRPr="007F7C0B" w:rsidRDefault="006C5237" w:rsidP="006C5237">
      <w:pPr>
        <w:rPr>
          <w:rFonts w:cstheme="minorHAnsi"/>
          <w:bCs/>
        </w:rPr>
      </w:pPr>
    </w:p>
    <w:p w:rsidR="006C5237" w:rsidRPr="00A441EA" w:rsidRDefault="006C5237" w:rsidP="006C5237">
      <w:pPr>
        <w:pStyle w:val="StandardWeb"/>
        <w:shd w:val="clear" w:color="auto" w:fill="FFFFFF"/>
        <w:spacing w:before="120" w:beforeAutospacing="0" w:after="120" w:afterAutospacing="0"/>
        <w:rPr>
          <w:rFonts w:ascii="Century Gothic" w:hAnsi="Century Gothic" w:cs="Arial"/>
          <w:color w:val="202122"/>
        </w:rPr>
      </w:pPr>
      <w:r w:rsidRPr="00A441EA">
        <w:rPr>
          <w:rFonts w:ascii="Century Gothic" w:hAnsi="Century Gothic" w:cs="Arial"/>
          <w:color w:val="202122"/>
        </w:rPr>
        <w:t>Als der kleine Drache Tabaluga den morgendlichen Ermahnungen seines Vaters Tyrion nicht zuhört, schickt ihn dieser auf eine Reise, wie es bei den Drachen schon immer Brauch ist. Tabaluga soll die Vernunft suchen, welche nicht leicht zu erkennen ist, und sich dabei auf „die Kraft die alles bewegt, die Fantasie“ verlassen.</w:t>
      </w:r>
    </w:p>
    <w:p w:rsidR="006C5237" w:rsidRDefault="006C5237" w:rsidP="006C5237">
      <w:pPr>
        <w:pStyle w:val="StandardWeb"/>
        <w:shd w:val="clear" w:color="auto" w:fill="FFFFFF"/>
        <w:spacing w:before="120" w:beforeAutospacing="0" w:after="120" w:afterAutospacing="0"/>
        <w:rPr>
          <w:rFonts w:ascii="Century Gothic" w:hAnsi="Century Gothic" w:cs="Arial"/>
          <w:color w:val="202122"/>
        </w:rPr>
      </w:pPr>
      <w:r w:rsidRPr="00A441EA">
        <w:rPr>
          <w:rFonts w:ascii="Century Gothic" w:hAnsi="Century Gothic" w:cs="Arial"/>
          <w:color w:val="202122"/>
        </w:rPr>
        <w:t xml:space="preserve">Auf seiner Reise begegnet Tabaluga dem Mond, welcher die Zeit macht, einer Ameisenkönigin, welche auf unbedingte Arbeit und Ordnung setzt, dem </w:t>
      </w:r>
    </w:p>
    <w:p w:rsidR="006C5237" w:rsidRDefault="006C5237" w:rsidP="006C5237">
      <w:pPr>
        <w:pStyle w:val="StandardWeb"/>
        <w:shd w:val="clear" w:color="auto" w:fill="FFFFFF"/>
        <w:spacing w:before="120" w:beforeAutospacing="0" w:after="120" w:afterAutospacing="0"/>
        <w:rPr>
          <w:rFonts w:ascii="Century Gothic" w:hAnsi="Century Gothic" w:cs="Arial"/>
          <w:color w:val="202122"/>
        </w:rPr>
      </w:pPr>
      <w:r w:rsidRPr="00A441EA">
        <w:rPr>
          <w:rFonts w:ascii="Century Gothic" w:hAnsi="Century Gothic" w:cs="Arial"/>
          <w:color w:val="202122"/>
        </w:rPr>
        <w:t xml:space="preserve">und dem Baum des Lebens. Der Feuersalamander </w:t>
      </w:r>
      <w:proofErr w:type="spellStart"/>
      <w:r w:rsidRPr="00A441EA">
        <w:rPr>
          <w:rFonts w:ascii="Century Gothic" w:hAnsi="Century Gothic" w:cs="Arial"/>
          <w:color w:val="202122"/>
        </w:rPr>
        <w:t>Pyromella</w:t>
      </w:r>
      <w:proofErr w:type="spellEnd"/>
      <w:r w:rsidRPr="00A441EA">
        <w:rPr>
          <w:rFonts w:ascii="Century Gothic" w:hAnsi="Century Gothic" w:cs="Arial"/>
          <w:color w:val="202122"/>
        </w:rPr>
        <w:t xml:space="preserve"> stellt fest, dass die beiden zwar nicht zueinander passen; aber wenn sie schon keine Freunde sein können, so wollen sie doch wenigstens keine Feinde sein. Diese zeigt ihm auch die </w:t>
      </w:r>
      <w:proofErr w:type="spellStart"/>
      <w:r w:rsidRPr="00A441EA">
        <w:rPr>
          <w:rFonts w:ascii="Century Gothic" w:hAnsi="Century Gothic" w:cs="Arial"/>
          <w:color w:val="202122"/>
        </w:rPr>
        <w:t>Kaulquappenschule</w:t>
      </w:r>
      <w:proofErr w:type="spellEnd"/>
      <w:r w:rsidRPr="00A441EA">
        <w:rPr>
          <w:rFonts w:ascii="Century Gothic" w:hAnsi="Century Gothic" w:cs="Arial"/>
          <w:color w:val="202122"/>
        </w:rPr>
        <w:t xml:space="preserve">, mit dem Wahlspruch „Werde Frosch, aber sei kein Frosch“. Der Storch </w:t>
      </w:r>
      <w:proofErr w:type="spellStart"/>
      <w:r w:rsidRPr="00A441EA">
        <w:rPr>
          <w:rFonts w:ascii="Century Gothic" w:hAnsi="Century Gothic" w:cs="Arial"/>
          <w:color w:val="202122"/>
        </w:rPr>
        <w:t>Arafron</w:t>
      </w:r>
      <w:proofErr w:type="spellEnd"/>
      <w:r w:rsidRPr="00A441EA">
        <w:rPr>
          <w:rFonts w:ascii="Century Gothic" w:hAnsi="Century Gothic" w:cs="Arial"/>
          <w:color w:val="202122"/>
        </w:rPr>
        <w:t xml:space="preserve"> schließlich gibt Tabaluga den Tipp, die zweihundertjährige Meeresschildkröte </w:t>
      </w:r>
      <w:proofErr w:type="spellStart"/>
      <w:r w:rsidRPr="00A441EA">
        <w:rPr>
          <w:rFonts w:ascii="Century Gothic" w:hAnsi="Century Gothic" w:cs="Arial"/>
          <w:color w:val="202122"/>
        </w:rPr>
        <w:fldChar w:fldCharType="begin"/>
      </w:r>
      <w:r w:rsidRPr="00A441EA">
        <w:rPr>
          <w:rFonts w:ascii="Century Gothic" w:hAnsi="Century Gothic" w:cs="Arial"/>
          <w:color w:val="202122"/>
        </w:rPr>
        <w:instrText>HYPERLINK "https://de.wikipedia.org/wiki/Nessaja" \o "Nessaja"</w:instrText>
      </w:r>
      <w:r w:rsidRPr="00A441EA">
        <w:rPr>
          <w:rFonts w:ascii="Century Gothic" w:hAnsi="Century Gothic" w:cs="Arial"/>
          <w:color w:val="202122"/>
        </w:rPr>
      </w:r>
      <w:r w:rsidRPr="00A441EA">
        <w:rPr>
          <w:rFonts w:ascii="Century Gothic" w:hAnsi="Century Gothic" w:cs="Arial"/>
          <w:color w:val="202122"/>
        </w:rPr>
        <w:fldChar w:fldCharType="separate"/>
      </w:r>
      <w:r w:rsidRPr="00A441EA">
        <w:rPr>
          <w:rStyle w:val="Hyperlink"/>
          <w:rFonts w:ascii="Century Gothic" w:hAnsi="Century Gothic" w:cs="Arial"/>
          <w:color w:val="0645AD"/>
          <w:u w:val="none"/>
        </w:rPr>
        <w:t>Nessaja</w:t>
      </w:r>
      <w:proofErr w:type="spellEnd"/>
      <w:r w:rsidRPr="00A441EA">
        <w:rPr>
          <w:rFonts w:ascii="Century Gothic" w:hAnsi="Century Gothic" w:cs="Arial"/>
          <w:color w:val="202122"/>
        </w:rPr>
        <w:fldChar w:fldCharType="end"/>
      </w:r>
      <w:r w:rsidRPr="00A441EA">
        <w:rPr>
          <w:rFonts w:ascii="Century Gothic" w:hAnsi="Century Gothic" w:cs="Arial"/>
          <w:color w:val="202122"/>
        </w:rPr>
        <w:t xml:space="preserve"> zu befragen, und bringt ihn zu ihr. </w:t>
      </w:r>
      <w:r>
        <w:rPr>
          <w:rFonts w:ascii="Century Gothic" w:hAnsi="Century Gothic" w:cs="Arial"/>
          <w:color w:val="202122"/>
        </w:rPr>
        <w:t xml:space="preserve">Wohin führt </w:t>
      </w:r>
      <w:proofErr w:type="spellStart"/>
      <w:r>
        <w:rPr>
          <w:rFonts w:ascii="Century Gothic" w:hAnsi="Century Gothic" w:cs="Arial"/>
          <w:color w:val="202122"/>
        </w:rPr>
        <w:t>Tabaluga’s</w:t>
      </w:r>
      <w:proofErr w:type="spellEnd"/>
      <w:r>
        <w:rPr>
          <w:rFonts w:ascii="Century Gothic" w:hAnsi="Century Gothic" w:cs="Arial"/>
          <w:color w:val="202122"/>
        </w:rPr>
        <w:t xml:space="preserve"> Reise und was erfährt er von </w:t>
      </w:r>
      <w:proofErr w:type="spellStart"/>
      <w:r>
        <w:rPr>
          <w:rFonts w:ascii="Century Gothic" w:hAnsi="Century Gothic" w:cs="Arial"/>
          <w:color w:val="202122"/>
        </w:rPr>
        <w:t>Nessaja</w:t>
      </w:r>
      <w:proofErr w:type="spellEnd"/>
      <w:r>
        <w:rPr>
          <w:rFonts w:ascii="Century Gothic" w:hAnsi="Century Gothic" w:cs="Arial"/>
          <w:color w:val="202122"/>
        </w:rPr>
        <w:t>?</w:t>
      </w:r>
    </w:p>
    <w:p w:rsidR="006C5237" w:rsidRDefault="006C5237" w:rsidP="006C5237">
      <w:pPr>
        <w:pStyle w:val="StandardWeb"/>
        <w:shd w:val="clear" w:color="auto" w:fill="FFFFFF"/>
        <w:spacing w:before="120" w:beforeAutospacing="0" w:after="120" w:afterAutospacing="0"/>
        <w:rPr>
          <w:rFonts w:ascii="Century Gothic" w:hAnsi="Century Gothic" w:cs="Arial"/>
          <w:color w:val="202122"/>
        </w:rPr>
      </w:pPr>
    </w:p>
    <w:p w:rsidR="006C5237" w:rsidRDefault="006C5237" w:rsidP="006C5237">
      <w:pPr>
        <w:pStyle w:val="StandardWeb"/>
        <w:shd w:val="clear" w:color="auto" w:fill="FFFFFF"/>
        <w:spacing w:before="120" w:beforeAutospacing="0" w:after="120" w:afterAutospacing="0"/>
        <w:rPr>
          <w:rFonts w:ascii="Century Gothic" w:hAnsi="Century Gothic" w:cs="Arial"/>
          <w:color w:val="202122"/>
        </w:rPr>
      </w:pPr>
      <w:r>
        <w:rPr>
          <w:rFonts w:ascii="Century Gothic" w:hAnsi="Century Gothic" w:cs="Arial"/>
          <w:color w:val="202122"/>
        </w:rPr>
        <w:t xml:space="preserve">Peter </w:t>
      </w:r>
      <w:proofErr w:type="spellStart"/>
      <w:r>
        <w:rPr>
          <w:rFonts w:ascii="Century Gothic" w:hAnsi="Century Gothic" w:cs="Arial"/>
          <w:color w:val="202122"/>
        </w:rPr>
        <w:t>Maffay’s</w:t>
      </w:r>
      <w:proofErr w:type="spellEnd"/>
      <w:r>
        <w:rPr>
          <w:rFonts w:ascii="Century Gothic" w:hAnsi="Century Gothic" w:cs="Arial"/>
          <w:color w:val="202122"/>
        </w:rPr>
        <w:t xml:space="preserve"> lebendiges Musical für Kinder und Familien ist seit vielen Jahren ein Riesenerfolg. Die 44 Kinder der </w:t>
      </w:r>
      <w:proofErr w:type="spellStart"/>
      <w:r>
        <w:rPr>
          <w:rFonts w:ascii="Century Gothic" w:hAnsi="Century Gothic" w:cs="Arial"/>
          <w:color w:val="202122"/>
        </w:rPr>
        <w:t>VoiceSteps.kids</w:t>
      </w:r>
      <w:proofErr w:type="spellEnd"/>
      <w:r>
        <w:rPr>
          <w:rFonts w:ascii="Century Gothic" w:hAnsi="Century Gothic" w:cs="Arial"/>
          <w:color w:val="202122"/>
        </w:rPr>
        <w:t xml:space="preserve"> präsentieren die schöne Geschichte des kleinen Drachen und die Lieder des deutschen Komponisten und Rock- und Popsängers Peter Maffay in einer eindrücklichen Inszenierung. </w:t>
      </w:r>
    </w:p>
    <w:p w:rsidR="006C5237" w:rsidRPr="00A441EA" w:rsidRDefault="006C5237" w:rsidP="006C5237">
      <w:pPr>
        <w:pStyle w:val="StandardWeb"/>
        <w:shd w:val="clear" w:color="auto" w:fill="FFFFFF"/>
        <w:spacing w:before="120" w:beforeAutospacing="0" w:after="120" w:afterAutospacing="0"/>
        <w:rPr>
          <w:rFonts w:ascii="Century Gothic" w:hAnsi="Century Gothic" w:cs="Arial"/>
          <w:color w:val="202122"/>
        </w:rPr>
      </w:pPr>
      <w:r>
        <w:rPr>
          <w:rFonts w:ascii="Century Gothic" w:hAnsi="Century Gothic" w:cs="Arial"/>
          <w:color w:val="202122"/>
        </w:rPr>
        <w:t xml:space="preserve">Regie und künstlerische Leitung: Nora Simmen, musikalische Leitung: Maya </w:t>
      </w:r>
      <w:proofErr w:type="spellStart"/>
      <w:r>
        <w:rPr>
          <w:rFonts w:ascii="Century Gothic" w:hAnsi="Century Gothic" w:cs="Arial"/>
          <w:color w:val="202122"/>
        </w:rPr>
        <w:t>Lotan</w:t>
      </w:r>
      <w:proofErr w:type="spellEnd"/>
      <w:r>
        <w:rPr>
          <w:rFonts w:ascii="Century Gothic" w:hAnsi="Century Gothic" w:cs="Arial"/>
          <w:color w:val="202122"/>
        </w:rPr>
        <w:t>, Choreografie und Tanzeinstudierungen: Aline Perino</w:t>
      </w:r>
    </w:p>
    <w:p w:rsidR="006C5237" w:rsidRPr="007F7C0B" w:rsidRDefault="006C5237" w:rsidP="006C5237">
      <w:pPr>
        <w:rPr>
          <w:rFonts w:eastAsia="Times New Roman" w:cstheme="minorHAnsi"/>
          <w:shd w:val="clear" w:color="auto" w:fill="FFFFFF"/>
          <w:lang w:eastAsia="de-DE"/>
        </w:rPr>
      </w:pPr>
    </w:p>
    <w:p w:rsidR="006C5237" w:rsidRPr="00A441EA" w:rsidRDefault="006C5237" w:rsidP="006C5237"/>
    <w:p w:rsidR="006C5237" w:rsidRDefault="006C5237"/>
    <w:sectPr w:rsidR="006C5237" w:rsidSect="00287F1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37"/>
    <w:rsid w:val="006C52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440AABC"/>
  <w15:chartTrackingRefBased/>
  <w15:docId w15:val="{D6384593-08AF-9243-8000-FD6EB2D0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5237"/>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6C5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Simmen</dc:creator>
  <cp:keywords/>
  <dc:description/>
  <cp:lastModifiedBy>Guido Simmen</cp:lastModifiedBy>
  <cp:revision>1</cp:revision>
  <dcterms:created xsi:type="dcterms:W3CDTF">2023-10-26T13:13:00Z</dcterms:created>
  <dcterms:modified xsi:type="dcterms:W3CDTF">2023-10-26T13:15:00Z</dcterms:modified>
</cp:coreProperties>
</file>